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920DD" w14:textId="2F84EC0F" w:rsidR="003E02D9" w:rsidRPr="00DA685B" w:rsidRDefault="003E02D9">
      <w:pPr>
        <w:spacing w:line="1" w:lineRule="exact"/>
        <w:rPr>
          <w:rFonts w:ascii="Times New Roman" w:hAnsi="Times New Roman" w:cs="Times New Roman"/>
        </w:rPr>
      </w:pPr>
    </w:p>
    <w:p w14:paraId="179C17A8" w14:textId="77777777" w:rsidR="003E02D9" w:rsidRPr="00DA685B" w:rsidRDefault="003E02D9">
      <w:pPr>
        <w:spacing w:before="91" w:after="91" w:line="240" w:lineRule="exact"/>
        <w:rPr>
          <w:rFonts w:ascii="Times New Roman" w:hAnsi="Times New Roman" w:cs="Times New Roman"/>
          <w:sz w:val="19"/>
          <w:szCs w:val="19"/>
        </w:rPr>
      </w:pPr>
    </w:p>
    <w:p w14:paraId="5A44458C" w14:textId="4345BE8A" w:rsidR="003E02D9" w:rsidRPr="00DA685B" w:rsidRDefault="003E02D9" w:rsidP="00A93CF0">
      <w:pPr>
        <w:spacing w:line="1" w:lineRule="exact"/>
        <w:jc w:val="right"/>
        <w:rPr>
          <w:rFonts w:ascii="Times New Roman" w:hAnsi="Times New Roman" w:cs="Times New Roman"/>
        </w:rPr>
        <w:sectPr w:rsidR="003E02D9" w:rsidRPr="00DA685B" w:rsidSect="003D0BD7">
          <w:type w:val="continuous"/>
          <w:pgSz w:w="11909" w:h="16840"/>
          <w:pgMar w:top="851" w:right="0" w:bottom="851" w:left="0" w:header="0" w:footer="6" w:gutter="0"/>
          <w:cols w:space="720"/>
          <w:noEndnote/>
          <w:docGrid w:linePitch="360"/>
        </w:sect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4500"/>
        <w:gridCol w:w="1980"/>
        <w:gridCol w:w="3727"/>
      </w:tblGrid>
      <w:tr w:rsidR="00CC04CF" w14:paraId="4E401D17" w14:textId="77777777" w:rsidTr="00BA1F4F">
        <w:trPr>
          <w:cantSplit/>
        </w:trPr>
        <w:tc>
          <w:tcPr>
            <w:tcW w:w="4500" w:type="dxa"/>
            <w:hideMark/>
          </w:tcPr>
          <w:p w14:paraId="06FFC654" w14:textId="77777777" w:rsidR="00CC04CF" w:rsidRDefault="00CC04CF" w:rsidP="00BA1F4F">
            <w:pPr>
              <w:ind w:left="176" w:hanging="176"/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lastRenderedPageBreak/>
              <w:t>БАШ?ОРТОСТАН РЕСПУБЛИКА№Ы</w:t>
            </w:r>
          </w:p>
          <w:p w14:paraId="1D6835AC" w14:textId="77777777" w:rsidR="00CC04CF" w:rsidRDefault="00CC04CF" w:rsidP="00BA1F4F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М»СЕТЛЕ РАЙОНЫ</w:t>
            </w:r>
          </w:p>
          <w:p w14:paraId="41DFC0F4" w14:textId="77777777" w:rsidR="00CC04CF" w:rsidRDefault="00CC04CF" w:rsidP="00BA1F4F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МУНИЦИПАЛЬ РАЙОНЫНЫ*</w:t>
            </w:r>
          </w:p>
          <w:p w14:paraId="3FFA36B1" w14:textId="77777777" w:rsidR="00CC04CF" w:rsidRDefault="00CC04CF" w:rsidP="00BA1F4F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АБДУЛЛА АУЫЛ СОВЕТЫ</w:t>
            </w:r>
          </w:p>
          <w:p w14:paraId="7D110D46" w14:textId="77777777" w:rsidR="00CC04CF" w:rsidRDefault="00CC04CF" w:rsidP="00BA1F4F">
            <w:pPr>
              <w:jc w:val="center"/>
              <w:rPr>
                <w:rFonts w:ascii="TimBashk" w:hAnsi="TimBashk"/>
                <w:b/>
                <w:sz w:val="20"/>
                <w:szCs w:val="20"/>
              </w:rPr>
            </w:pPr>
            <w:r>
              <w:rPr>
                <w:rFonts w:ascii="TimBashk" w:hAnsi="TimBashk"/>
                <w:b/>
                <w:sz w:val="20"/>
                <w:szCs w:val="20"/>
              </w:rPr>
              <w:t>АУЫЛ БИЛ»М»№Е</w:t>
            </w:r>
          </w:p>
          <w:p w14:paraId="123722A1" w14:textId="77777777" w:rsidR="00CC04CF" w:rsidRDefault="00CC04CF" w:rsidP="00BA1F4F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B95A3E" wp14:editId="6AC7BFF5">
                      <wp:simplePos x="0" y="0"/>
                      <wp:positionH relativeFrom="column">
                        <wp:posOffset>-227865</wp:posOffset>
                      </wp:positionH>
                      <wp:positionV relativeFrom="paragraph">
                        <wp:posOffset>378628</wp:posOffset>
                      </wp:positionV>
                      <wp:extent cx="6972300" cy="0"/>
                      <wp:effectExtent l="0" t="19050" r="19050" b="381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4055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29.8pt" to="531.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+E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g8xUqSBFnWf1+/Xt9337sv6Fq0/dD+7b93X7q770d2tP0J8v/4Ecdjs7rfL&#10;t2gY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Bashk" w:hAnsi="TimBashk"/>
                <w:b/>
                <w:sz w:val="20"/>
                <w:szCs w:val="20"/>
              </w:rPr>
              <w:t>ХАКИМИ»ТЕ</w:t>
            </w:r>
          </w:p>
        </w:tc>
        <w:tc>
          <w:tcPr>
            <w:tcW w:w="1980" w:type="dxa"/>
            <w:vMerge w:val="restart"/>
            <w:hideMark/>
          </w:tcPr>
          <w:p w14:paraId="6838390D" w14:textId="77777777" w:rsidR="00CC04CF" w:rsidRDefault="00CC04CF" w:rsidP="00BA1F4F">
            <w:pPr>
              <w:jc w:val="center"/>
              <w:rPr>
                <w:rFonts w:ascii="Bash" w:hAnsi="Bash" w:cs="Bash"/>
                <w:sz w:val="22"/>
                <w:szCs w:val="22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C1C0621" wp14:editId="2A23D7A9">
                  <wp:extent cx="826135" cy="1018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4FF19B43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АДМИНИСТРАЦИЯ</w:t>
            </w:r>
          </w:p>
          <w:p w14:paraId="02DE36A1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 xml:space="preserve"> СЕЛЬСКОГО ПОСЕЛЕНИЯ</w:t>
            </w:r>
          </w:p>
          <w:p w14:paraId="21E27770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АБДУЛЛИНСКИЙ СЕЛЬСОВЕТ</w:t>
            </w:r>
          </w:p>
          <w:p w14:paraId="080CB8F8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МУНИЦИПАЛЬНОГО РАЙОНА</w:t>
            </w:r>
          </w:p>
          <w:p w14:paraId="6B20ABD4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МЕЧЕТЛИНСКИЙ РАЙОН</w:t>
            </w:r>
          </w:p>
          <w:p w14:paraId="5F6CC486" w14:textId="77777777" w:rsidR="00CC04CF" w:rsidRDefault="00CC04CF" w:rsidP="00BA1F4F">
            <w:pPr>
              <w:jc w:val="center"/>
              <w:rPr>
                <w:rFonts w:ascii="TimBashk" w:hAnsi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/>
                <w:b/>
                <w:bCs/>
                <w:sz w:val="20"/>
                <w:szCs w:val="20"/>
              </w:rPr>
              <w:t>РЕСПУБЛИКИ БАШКОРТОСТАН</w:t>
            </w:r>
          </w:p>
          <w:p w14:paraId="6ABC20B8" w14:textId="77777777" w:rsidR="00CC04CF" w:rsidRDefault="00CC04CF" w:rsidP="00BA1F4F">
            <w:pPr>
              <w:jc w:val="center"/>
              <w:rPr>
                <w:sz w:val="28"/>
                <w:szCs w:val="28"/>
              </w:rPr>
            </w:pPr>
          </w:p>
        </w:tc>
      </w:tr>
      <w:tr w:rsidR="00CC04CF" w14:paraId="48B15061" w14:textId="77777777" w:rsidTr="00BA1F4F">
        <w:trPr>
          <w:cantSplit/>
        </w:trPr>
        <w:tc>
          <w:tcPr>
            <w:tcW w:w="4500" w:type="dxa"/>
            <w:hideMark/>
          </w:tcPr>
          <w:p w14:paraId="0CA8EAED" w14:textId="77777777" w:rsidR="00CC04CF" w:rsidRDefault="00CC04CF" w:rsidP="00BA1F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494B55" w14:textId="77777777" w:rsidR="00CC04CF" w:rsidRDefault="00CC04CF" w:rsidP="00BA1F4F">
            <w:pPr>
              <w:rPr>
                <w:rFonts w:ascii="Bash" w:hAnsi="Bash" w:cs="Bash"/>
                <w:sz w:val="22"/>
                <w:szCs w:val="22"/>
              </w:rPr>
            </w:pPr>
          </w:p>
        </w:tc>
        <w:tc>
          <w:tcPr>
            <w:tcW w:w="3727" w:type="dxa"/>
          </w:tcPr>
          <w:p w14:paraId="61DBCF6C" w14:textId="77777777" w:rsidR="00CC04CF" w:rsidRDefault="00CC04CF" w:rsidP="00BA1F4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657387" w14:textId="02806785" w:rsidR="00CC04CF" w:rsidRPr="00CC04CF" w:rsidRDefault="00CC04CF" w:rsidP="00CC04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Bashk" w:hAnsi="TimBashk"/>
          <w:b/>
        </w:rPr>
        <w:t xml:space="preserve">               </w:t>
      </w:r>
      <w:r>
        <w:rPr>
          <w:rFonts w:ascii="TimBashk" w:hAnsi="TimBashk"/>
          <w:b/>
          <w:sz w:val="28"/>
          <w:szCs w:val="28"/>
        </w:rPr>
        <w:t xml:space="preserve">?АРАР </w:t>
      </w:r>
      <w:r>
        <w:rPr>
          <w:rFonts w:ascii="TimBashk" w:hAnsi="TimBashk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</w:r>
      <w:r>
        <w:rPr>
          <w:rFonts w:ascii="Bash" w:hAnsi="Bash"/>
          <w:b/>
          <w:sz w:val="28"/>
          <w:szCs w:val="28"/>
        </w:rPr>
        <w:tab/>
        <w:t xml:space="preserve">                     </w:t>
      </w:r>
      <w:r w:rsidRPr="00CC04C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300DD72A" w14:textId="77777777" w:rsidR="00CC04CF" w:rsidRPr="00CC04CF" w:rsidRDefault="00CC04CF" w:rsidP="00CC04CF">
      <w:pPr>
        <w:rPr>
          <w:rFonts w:ascii="Times New Roman" w:hAnsi="Times New Roman" w:cs="Times New Roman"/>
          <w:b/>
          <w:sz w:val="28"/>
          <w:szCs w:val="28"/>
        </w:rPr>
      </w:pPr>
    </w:p>
    <w:p w14:paraId="1E0426EC" w14:textId="5BF85B8D" w:rsidR="00CC04CF" w:rsidRPr="00CC04CF" w:rsidRDefault="00CC04CF" w:rsidP="00CC04CF">
      <w:pPr>
        <w:rPr>
          <w:rFonts w:ascii="Times New Roman" w:hAnsi="Times New Roman" w:cs="Times New Roman"/>
          <w:b/>
          <w:sz w:val="28"/>
          <w:szCs w:val="28"/>
        </w:rPr>
      </w:pPr>
      <w:r w:rsidRPr="00CC04C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C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Pr="00CC04CF">
        <w:rPr>
          <w:rFonts w:ascii="Times New Roman" w:hAnsi="Times New Roman" w:cs="Times New Roman"/>
          <w:sz w:val="28"/>
          <w:szCs w:val="28"/>
        </w:rPr>
        <w:t xml:space="preserve">  20</w:t>
      </w:r>
      <w:r w:rsidRPr="00CC04CF">
        <w:rPr>
          <w:rFonts w:ascii="Times New Roman" w:hAnsi="Times New Roman" w:cs="Times New Roman"/>
          <w:sz w:val="28"/>
          <w:szCs w:val="28"/>
          <w:lang w:val="ba-RU"/>
        </w:rPr>
        <w:t xml:space="preserve">26 </w:t>
      </w:r>
      <w:r w:rsidRPr="00CC04CF">
        <w:rPr>
          <w:rFonts w:ascii="Times New Roman" w:hAnsi="Times New Roman" w:cs="Times New Roman"/>
          <w:sz w:val="28"/>
          <w:szCs w:val="28"/>
        </w:rPr>
        <w:t>й</w:t>
      </w:r>
      <w:r w:rsidRPr="00CC04CF">
        <w:rPr>
          <w:rFonts w:ascii="Times New Roman" w:hAnsi="Times New Roman" w:cs="Times New Roman"/>
          <w:sz w:val="28"/>
          <w:szCs w:val="28"/>
          <w:lang w:val="ba-RU"/>
        </w:rPr>
        <w:t>ыл</w:t>
      </w:r>
      <w:r w:rsidRPr="00CC04CF">
        <w:rPr>
          <w:rFonts w:ascii="Times New Roman" w:hAnsi="Times New Roman" w:cs="Times New Roman"/>
          <w:sz w:val="28"/>
          <w:szCs w:val="28"/>
        </w:rPr>
        <w:t xml:space="preserve"> </w:t>
      </w:r>
      <w:r w:rsidRPr="00CC04CF">
        <w:rPr>
          <w:rFonts w:ascii="Times New Roman" w:hAnsi="Times New Roman" w:cs="Times New Roman"/>
          <w:sz w:val="28"/>
          <w:szCs w:val="28"/>
        </w:rPr>
        <w:tab/>
      </w:r>
      <w:r w:rsidRPr="00CC04CF">
        <w:rPr>
          <w:rFonts w:ascii="Times New Roman" w:hAnsi="Times New Roman" w:cs="Times New Roman"/>
          <w:sz w:val="28"/>
          <w:szCs w:val="28"/>
        </w:rPr>
        <w:tab/>
        <w:t xml:space="preserve">         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04C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C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CC04CF">
        <w:rPr>
          <w:rFonts w:ascii="Times New Roman" w:hAnsi="Times New Roman" w:cs="Times New Roman"/>
          <w:sz w:val="28"/>
          <w:szCs w:val="28"/>
        </w:rPr>
        <w:t xml:space="preserve">  2026г.</w:t>
      </w:r>
    </w:p>
    <w:p w14:paraId="2055FC36" w14:textId="77777777" w:rsidR="00CC04CF" w:rsidRPr="00BD14A5" w:rsidRDefault="00CC04CF" w:rsidP="00CC04CF">
      <w:pPr>
        <w:ind w:firstLine="709"/>
        <w:rPr>
          <w:color w:val="FF0000"/>
          <w:sz w:val="28"/>
          <w:szCs w:val="28"/>
        </w:rPr>
      </w:pPr>
    </w:p>
    <w:p w14:paraId="378C60E2" w14:textId="77777777" w:rsidR="004D1BE6" w:rsidRPr="002E351B" w:rsidRDefault="004D1BE6" w:rsidP="004D1BE6">
      <w:pPr>
        <w:pStyle w:val="1"/>
        <w:rPr>
          <w:szCs w:val="28"/>
        </w:rPr>
      </w:pPr>
    </w:p>
    <w:p w14:paraId="56FEADA1" w14:textId="63D1D1A2" w:rsidR="00822C76" w:rsidRPr="00714879" w:rsidRDefault="00822C76" w:rsidP="00822C7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1487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33F45"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  <w:r w:rsidRPr="00714879">
        <w:rPr>
          <w:rFonts w:ascii="Times New Roman" w:hAnsi="Times New Roman" w:cs="Times New Roman"/>
          <w:sz w:val="28"/>
          <w:szCs w:val="28"/>
        </w:rPr>
        <w:t xml:space="preserve"> от </w:t>
      </w:r>
      <w:r w:rsidR="00CC04CF">
        <w:rPr>
          <w:rFonts w:ascii="Times New Roman" w:hAnsi="Times New Roman" w:cs="Times New Roman"/>
          <w:sz w:val="28"/>
          <w:szCs w:val="28"/>
        </w:rPr>
        <w:t>12</w:t>
      </w:r>
      <w:r w:rsidRPr="00822C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4CF" w:rsidRPr="00CC04CF">
        <w:rPr>
          <w:rFonts w:ascii="Times New Roman" w:hAnsi="Times New Roman" w:cs="Times New Roman"/>
          <w:sz w:val="28"/>
          <w:szCs w:val="28"/>
        </w:rPr>
        <w:t>декабря</w:t>
      </w:r>
      <w:r w:rsidRPr="00CC04C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CC04CF" w:rsidRPr="00CC04CF">
        <w:rPr>
          <w:rFonts w:ascii="Times New Roman" w:hAnsi="Times New Roman" w:cs="Times New Roman"/>
          <w:sz w:val="28"/>
          <w:szCs w:val="28"/>
        </w:rPr>
        <w:t>71</w:t>
      </w:r>
      <w:r w:rsidRPr="00CC04CF">
        <w:rPr>
          <w:rFonts w:ascii="Times New Roman" w:hAnsi="Times New Roman" w:cs="Times New Roman"/>
          <w:sz w:val="28"/>
          <w:szCs w:val="28"/>
        </w:rPr>
        <w:t xml:space="preserve"> </w:t>
      </w:r>
      <w:r w:rsidRPr="00714879">
        <w:rPr>
          <w:rFonts w:ascii="Times New Roman" w:hAnsi="Times New Roman" w:cs="Times New Roman"/>
          <w:sz w:val="28"/>
          <w:szCs w:val="28"/>
        </w:rPr>
        <w:t>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714879">
        <w:rPr>
          <w:rFonts w:ascii="Times New Roman" w:hAnsi="Times New Roman" w:cs="Times New Roman"/>
          <w:color w:val="FF0000"/>
          <w:sz w:val="28"/>
          <w:szCs w:val="28"/>
        </w:rPr>
        <w:br/>
      </w:r>
    </w:p>
    <w:p w14:paraId="0357CBB0" w14:textId="77777777" w:rsidR="00822C76" w:rsidRDefault="00822C76" w:rsidP="00822C76">
      <w:pPr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 xml:space="preserve">          В соответствии с абзацем девятым </w:t>
      </w:r>
      <w:hyperlink r:id="rId9" w:anchor="l790" w:history="1">
        <w:r w:rsidRPr="00714879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714879">
        <w:rPr>
          <w:rFonts w:ascii="Times New Roman" w:hAnsi="Times New Roman" w:cs="Times New Roman"/>
          <w:sz w:val="28"/>
          <w:szCs w:val="28"/>
        </w:rPr>
        <w:t xml:space="preserve"> статьи 160.1 Бюджетного кодекса Российской Федерации, Приказом Министерства финансов Российской Федерации от 20 февраля 2026 года № 12н «О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</w:t>
      </w: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71487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>2024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79">
        <w:rPr>
          <w:rFonts w:ascii="Times New Roman" w:hAnsi="Times New Roman" w:cs="Times New Roman"/>
          <w:sz w:val="28"/>
          <w:szCs w:val="28"/>
        </w:rPr>
        <w:t xml:space="preserve"> № 139н», </w:t>
      </w:r>
    </w:p>
    <w:p w14:paraId="5A2DDC61" w14:textId="57B160AB" w:rsidR="00822C76" w:rsidRPr="00714879" w:rsidRDefault="00822C76" w:rsidP="00822C76">
      <w:pPr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714879">
        <w:rPr>
          <w:rFonts w:ascii="Times New Roman" w:hAnsi="Times New Roman" w:cs="Times New Roman"/>
          <w:sz w:val="28"/>
          <w:szCs w:val="28"/>
        </w:rPr>
        <w:t>:</w:t>
      </w:r>
    </w:p>
    <w:p w14:paraId="2C6C4CFB" w14:textId="77777777" w:rsidR="00822C76" w:rsidRPr="00714879" w:rsidRDefault="00822C76" w:rsidP="00822C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2078F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1. Подпункт «б» пункта 3 дополнить словами «, которые не должны превышать сроки, установленные настоящим документом (при наличии)».</w:t>
      </w:r>
    </w:p>
    <w:p w14:paraId="0178D2A4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2. В пункте 5:</w:t>
      </w:r>
    </w:p>
    <w:p w14:paraId="1335A151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второй дополнить словами «не позднее 30 календарных дней со дня образования просроченной дебиторской задолженности по доходам»;</w:t>
      </w:r>
    </w:p>
    <w:p w14:paraId="0B7A5BB3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четвертый дополнить словами «, но не позднее 30 календарных дней со дня истечения срока уплаты соответствующего платежа в бюджет бюджетной системы Российской Федерации (пеней, штрафов), если иные сроки не предусмотрены законодательством Российской Федерации (договором, контрактом)»;</w:t>
      </w:r>
    </w:p>
    <w:p w14:paraId="701C94A4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пятый дополнить словами «, в сроки, установленные абзацами вторым, пятым и шестым пункта 12 указанного Положения».</w:t>
      </w:r>
    </w:p>
    <w:p w14:paraId="137F3907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3. В пункте 6:</w:t>
      </w:r>
    </w:p>
    <w:p w14:paraId="12BB6A88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абзац второй дополнить словами «в пределах сроков исковой давности»;</w:t>
      </w:r>
    </w:p>
    <w:p w14:paraId="3AF2A498" w14:textId="77777777" w:rsidR="00822C76" w:rsidRPr="00714879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79">
        <w:rPr>
          <w:rFonts w:ascii="Times New Roman" w:hAnsi="Times New Roman" w:cs="Times New Roman"/>
          <w:sz w:val="28"/>
          <w:szCs w:val="28"/>
        </w:rPr>
        <w:t>в абзаце четвертом слова «и порядке, установленных» заменить словами «, порядке и сроки, которые установлены».</w:t>
      </w:r>
    </w:p>
    <w:p w14:paraId="09A1361C" w14:textId="77777777" w:rsidR="00822C76" w:rsidRDefault="00822C76" w:rsidP="00822C76">
      <w:pPr>
        <w:pStyle w:val="ConsPlusNormal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5B020" w14:textId="07A1957B" w:rsidR="00360C34" w:rsidRPr="00DA685B" w:rsidRDefault="00360C34" w:rsidP="00720BAE">
      <w:pPr>
        <w:pStyle w:val="11"/>
        <w:shd w:val="clear" w:color="auto" w:fill="auto"/>
        <w:tabs>
          <w:tab w:val="left" w:pos="903"/>
        </w:tabs>
        <w:spacing w:after="300"/>
        <w:ind w:firstLine="0"/>
        <w:jc w:val="both"/>
      </w:pPr>
    </w:p>
    <w:p w14:paraId="245D2F03" w14:textId="74DA15A3" w:rsidR="00CE7E79" w:rsidRDefault="0053208E" w:rsidP="00DF24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F2405">
        <w:rPr>
          <w:rFonts w:ascii="Times New Roman" w:hAnsi="Times New Roman" w:cs="Times New Roman"/>
          <w:sz w:val="28"/>
          <w:szCs w:val="28"/>
        </w:rPr>
        <w:t xml:space="preserve"> </w:t>
      </w:r>
      <w:r w:rsidR="00CC04CF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Р.Г.Нусратуллин</w:t>
      </w:r>
      <w:r w:rsidR="00DF2405">
        <w:rPr>
          <w:rFonts w:ascii="Times New Roman" w:hAnsi="Times New Roman" w:cs="Times New Roman"/>
          <w:sz w:val="28"/>
          <w:szCs w:val="28"/>
        </w:rPr>
        <w:t xml:space="preserve">      </w:t>
      </w:r>
      <w:r w:rsidR="00CE7E79" w:rsidRPr="00DA68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27953FA3" w14:textId="77777777" w:rsidR="00CC04CF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</w:p>
    <w:p w14:paraId="23B71B98" w14:textId="77777777" w:rsidR="00CC04CF" w:rsidRPr="00DA685B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 w:rsidRPr="00DA685B">
        <w:t>УТВЕРЖДЕН</w:t>
      </w:r>
      <w:r>
        <w:t>Ы</w:t>
      </w:r>
    </w:p>
    <w:p w14:paraId="42AA65B8" w14:textId="77777777" w:rsidR="00CC04CF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>
        <w:t xml:space="preserve">Постановлением </w:t>
      </w:r>
      <w:r w:rsidRPr="00DA685B">
        <w:t xml:space="preserve">Администрации </w:t>
      </w:r>
      <w:r>
        <w:t xml:space="preserve">  </w:t>
      </w:r>
    </w:p>
    <w:p w14:paraId="1E0D12F8" w14:textId="77777777" w:rsidR="00CC04CF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>
        <w:t xml:space="preserve">сельского поселения </w:t>
      </w:r>
      <w:r w:rsidRPr="0041268E">
        <w:rPr>
          <w:color w:val="000000" w:themeColor="text1"/>
        </w:rPr>
        <w:t xml:space="preserve">Абдуллинский </w:t>
      </w:r>
    </w:p>
    <w:p w14:paraId="769D86BD" w14:textId="77777777" w:rsidR="00CC04CF" w:rsidRPr="00DA685B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>
        <w:t xml:space="preserve">сельсовет </w:t>
      </w:r>
      <w:r w:rsidRPr="00DA685B">
        <w:t xml:space="preserve">муниципального      </w:t>
      </w:r>
    </w:p>
    <w:p w14:paraId="1446E7EA" w14:textId="77777777" w:rsidR="00CC04CF" w:rsidRPr="00DA685B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>
        <w:t>р</w:t>
      </w:r>
      <w:r w:rsidRPr="00DA685B">
        <w:t>айона Мечетлинский район</w:t>
      </w:r>
    </w:p>
    <w:p w14:paraId="7F3BBB2B" w14:textId="77777777" w:rsidR="00CC04CF" w:rsidRPr="00DA685B" w:rsidRDefault="00CC04CF" w:rsidP="00CC04CF">
      <w:pPr>
        <w:pStyle w:val="20"/>
        <w:shd w:val="clear" w:color="auto" w:fill="auto"/>
        <w:spacing w:line="240" w:lineRule="auto"/>
        <w:ind w:left="5040" w:firstLine="624"/>
        <w:jc w:val="left"/>
      </w:pPr>
      <w:r w:rsidRPr="00DA685B">
        <w:t>Республики Башкортостан</w:t>
      </w:r>
      <w:r>
        <w:t>»</w:t>
      </w:r>
    </w:p>
    <w:p w14:paraId="3188658C" w14:textId="77777777" w:rsidR="00CC04CF" w:rsidRPr="00DA685B" w:rsidRDefault="00CC04CF" w:rsidP="00CC04CF">
      <w:pPr>
        <w:pStyle w:val="20"/>
        <w:shd w:val="clear" w:color="auto" w:fill="auto"/>
        <w:spacing w:after="740" w:line="240" w:lineRule="auto"/>
        <w:ind w:left="5040" w:firstLine="624"/>
        <w:jc w:val="left"/>
      </w:pPr>
      <w:r>
        <w:t>о</w:t>
      </w:r>
      <w:r w:rsidRPr="00DA685B">
        <w:t>т</w:t>
      </w:r>
      <w:r>
        <w:t xml:space="preserve"> 12 декабря </w:t>
      </w:r>
      <w:r w:rsidRPr="00DA685B">
        <w:t>202</w:t>
      </w:r>
      <w:r>
        <w:t>4</w:t>
      </w:r>
      <w:r w:rsidRPr="00DA685B">
        <w:t xml:space="preserve"> г. № </w:t>
      </w:r>
      <w:r>
        <w:t>71</w:t>
      </w:r>
    </w:p>
    <w:p w14:paraId="58AC6853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b/>
          <w:bCs/>
          <w:sz w:val="28"/>
          <w:szCs w:val="28"/>
        </w:rPr>
        <w:t>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14:paraId="692B2865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1. Настоящий документ устанавливает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доходам).</w:t>
      </w:r>
    </w:p>
    <w:p w14:paraId="37B98847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2. 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Федерации.</w:t>
      </w:r>
    </w:p>
    <w:p w14:paraId="63ADE09C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3. Регламент должен устанавливать:</w:t>
      </w:r>
    </w:p>
    <w:p w14:paraId="208EB231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1D56BC66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23864A2E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71D8983B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lastRenderedPageBreak/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1D550141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611DCACA" w14:textId="08A2E0AE" w:rsidR="00CC04CF" w:rsidRPr="00E82232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b/>
        </w:rPr>
      </w:pPr>
      <w:r w:rsidRPr="00DA685B">
        <w:rPr>
          <w:rFonts w:ascii="Times New Roman" w:hAnsi="Times New Roman" w:cs="Times New Roman"/>
          <w:sz w:val="28"/>
          <w:szCs w:val="28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</w:t>
      </w:r>
      <w:r w:rsidR="00E82232">
        <w:rPr>
          <w:rFonts w:ascii="Times New Roman" w:hAnsi="Times New Roman" w:cs="Times New Roman"/>
          <w:sz w:val="28"/>
          <w:szCs w:val="28"/>
        </w:rPr>
        <w:t>,</w:t>
      </w:r>
      <w:r w:rsidR="00E82232" w:rsidRPr="00E82232">
        <w:t xml:space="preserve"> </w:t>
      </w:r>
      <w:r w:rsidR="00E82232" w:rsidRPr="00E82232">
        <w:rPr>
          <w:rFonts w:ascii="Times New Roman" w:hAnsi="Times New Roman" w:cs="Times New Roman"/>
          <w:sz w:val="28"/>
          <w:szCs w:val="28"/>
        </w:rPr>
        <w:t>которые не должны превышать сроки, установленные настоящим документом (при наличии</w:t>
      </w:r>
      <w:r w:rsidR="00E82232" w:rsidRPr="00E82232">
        <w:rPr>
          <w:rFonts w:ascii="Times New Roman" w:hAnsi="Times New Roman" w:cs="Times New Roman"/>
          <w:b/>
        </w:rPr>
        <w:t>)</w:t>
      </w:r>
      <w:r w:rsidRPr="00E82232">
        <w:rPr>
          <w:rFonts w:ascii="Times New Roman" w:hAnsi="Times New Roman" w:cs="Times New Roman"/>
          <w:b/>
        </w:rPr>
        <w:t>;</w:t>
      </w:r>
      <w:r w:rsidR="00E82232">
        <w:rPr>
          <w:rFonts w:ascii="Times New Roman" w:hAnsi="Times New Roman" w:cs="Times New Roman"/>
          <w:b/>
        </w:rPr>
        <w:t xml:space="preserve"> </w:t>
      </w:r>
      <w:r w:rsidR="00E82232" w:rsidRPr="00E82232">
        <w:rPr>
          <w:rFonts w:ascii="Times New Roman" w:hAnsi="Times New Roman" w:cs="Times New Roman"/>
          <w:b/>
        </w:rPr>
        <w:t>(внес.изм. постановление №12 от 08.04.2026г.)</w:t>
      </w:r>
    </w:p>
    <w:p w14:paraId="4EF99FB8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597124BE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14:paraId="649B7120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4.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14:paraId="3A4FCC3D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а) контроль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14:paraId="225B246B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</w:t>
      </w:r>
    </w:p>
    <w:p w14:paraId="1D90D1B3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hyperlink r:id="rId10" w:anchor="l357" w:history="1">
        <w:r w:rsidRPr="00DA685B">
          <w:rPr>
            <w:rFonts w:ascii="Times New Roman" w:hAnsi="Times New Roman" w:cs="Times New Roman"/>
            <w:sz w:val="28"/>
            <w:szCs w:val="28"/>
          </w:rPr>
          <w:t>статьей 21.3</w:t>
        </w:r>
      </w:hyperlink>
      <w:r w:rsidRPr="00DA685B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</w:t>
      </w:r>
      <w:r w:rsidRPr="00DA685B">
        <w:rPr>
          <w:rFonts w:ascii="Times New Roman" w:hAnsi="Times New Roman" w:cs="Times New Roman"/>
          <w:sz w:val="28"/>
          <w:szCs w:val="28"/>
        </w:rPr>
        <w:lastRenderedPageBreak/>
        <w:t>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 &lt;1&gt;;</w:t>
      </w:r>
    </w:p>
    <w:p w14:paraId="57C975AD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66B449C8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14:paraId="2D7F78FD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14:paraId="0E515B01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621CE7B7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09F233B9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2BB6E453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14:paraId="22620CC3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--------------------</w:t>
      </w:r>
    </w:p>
    <w:p w14:paraId="269048B1" w14:textId="77777777" w:rsidR="00CC04CF" w:rsidRPr="00ED031E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0"/>
          <w:szCs w:val="20"/>
        </w:rPr>
      </w:pPr>
      <w:r w:rsidRPr="00DA685B">
        <w:rPr>
          <w:rFonts w:ascii="Times New Roman" w:hAnsi="Times New Roman" w:cs="Times New Roman"/>
        </w:rPr>
        <w:t>&lt;</w:t>
      </w:r>
      <w:r w:rsidRPr="00ED031E">
        <w:rPr>
          <w:rFonts w:ascii="Times New Roman" w:hAnsi="Times New Roman" w:cs="Times New Roman"/>
          <w:sz w:val="20"/>
          <w:szCs w:val="20"/>
        </w:rPr>
        <w:t xml:space="preserve">1&gt; Зарегистрирован Министерством юстиции Российской Федерации 31 января 2020 г., регистрационный N 57394, с изменениями, внесенными приказами Министерства финансов Российской Федерации от 4 июля 2022 г. N 104н (зарегистрирован Министерством юстиции Российской Федерации 3 августа 2022 г., регистрационный N 69486), от 10 августа 2023 г. N 132н (зарегистрирован Министерством юстиции Российской Федерации 8 сентября 2023 г., регистрационный N 75142) и от 10 июля 2024 г. N 102н (зарегистрирован Министерством юстиции Российской Федерации 2 октября 2024 г., регистрационный N </w:t>
      </w:r>
      <w:r w:rsidRPr="00ED031E">
        <w:rPr>
          <w:rFonts w:ascii="Times New Roman" w:hAnsi="Times New Roman" w:cs="Times New Roman"/>
          <w:sz w:val="20"/>
          <w:szCs w:val="20"/>
        </w:rPr>
        <w:lastRenderedPageBreak/>
        <w:t>79670).</w:t>
      </w:r>
    </w:p>
    <w:p w14:paraId="08417C74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г)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наличии).</w:t>
      </w:r>
    </w:p>
    <w:p w14:paraId="535032ED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</w:t>
      </w:r>
    </w:p>
    <w:p w14:paraId="46BE7E32" w14:textId="041E5D45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</w:t>
      </w:r>
      <w:r w:rsidR="002A25E4">
        <w:rPr>
          <w:rFonts w:ascii="Times New Roman" w:hAnsi="Times New Roman" w:cs="Times New Roman"/>
          <w:sz w:val="28"/>
          <w:szCs w:val="28"/>
        </w:rPr>
        <w:t>),</w:t>
      </w:r>
      <w:r w:rsidR="002A25E4" w:rsidRPr="002A25E4">
        <w:rPr>
          <w:rFonts w:ascii="Times New Roman" w:hAnsi="Times New Roman" w:cs="Times New Roman"/>
          <w:sz w:val="28"/>
          <w:szCs w:val="28"/>
        </w:rPr>
        <w:t xml:space="preserve"> </w:t>
      </w:r>
      <w:r w:rsidR="002A25E4" w:rsidRPr="00E82232">
        <w:rPr>
          <w:rFonts w:ascii="Times New Roman" w:hAnsi="Times New Roman" w:cs="Times New Roman"/>
          <w:sz w:val="28"/>
          <w:szCs w:val="28"/>
        </w:rPr>
        <w:t>не позднее 30 календарных дней со дня образования просроченной дебиторской задолженности по доходам</w:t>
      </w:r>
      <w:r w:rsidR="002A25E4" w:rsidRPr="00DA685B">
        <w:rPr>
          <w:rFonts w:ascii="Times New Roman" w:hAnsi="Times New Roman" w:cs="Times New Roman"/>
          <w:sz w:val="28"/>
          <w:szCs w:val="28"/>
        </w:rPr>
        <w:t>;</w:t>
      </w:r>
      <w:r w:rsidR="002A25E4" w:rsidRPr="00E82232">
        <w:t xml:space="preserve"> </w:t>
      </w:r>
      <w:r w:rsidR="002A25E4" w:rsidRPr="00E82232">
        <w:rPr>
          <w:rFonts w:ascii="Times New Roman" w:hAnsi="Times New Roman" w:cs="Times New Roman"/>
        </w:rPr>
        <w:t>(</w:t>
      </w:r>
      <w:r w:rsidR="002A25E4" w:rsidRPr="00E82232">
        <w:rPr>
          <w:rFonts w:ascii="Times New Roman" w:hAnsi="Times New Roman" w:cs="Times New Roman"/>
          <w:b/>
        </w:rPr>
        <w:t>внес.изм. постановление №12 от 08.04.2026г</w:t>
      </w:r>
      <w:r w:rsidR="002A25E4" w:rsidRPr="00E82232">
        <w:rPr>
          <w:rFonts w:ascii="Times New Roman" w:hAnsi="Times New Roman" w:cs="Times New Roman"/>
        </w:rPr>
        <w:t>.)</w:t>
      </w:r>
      <w:r w:rsidRPr="00DA685B">
        <w:rPr>
          <w:rFonts w:ascii="Times New Roman" w:hAnsi="Times New Roman" w:cs="Times New Roman"/>
          <w:sz w:val="28"/>
          <w:szCs w:val="28"/>
        </w:rPr>
        <w:t>;</w:t>
      </w:r>
    </w:p>
    <w:p w14:paraId="14FC24AD" w14:textId="680926D4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</w:r>
      <w:r w:rsidR="002A25E4">
        <w:rPr>
          <w:rFonts w:ascii="Times New Roman" w:hAnsi="Times New Roman" w:cs="Times New Roman"/>
          <w:sz w:val="28"/>
          <w:szCs w:val="28"/>
        </w:rPr>
        <w:t>;</w:t>
      </w:r>
      <w:r w:rsidR="00E82232" w:rsidRPr="00E82232">
        <w:t xml:space="preserve"> </w:t>
      </w:r>
    </w:p>
    <w:p w14:paraId="2817B287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3028A8EE" w14:textId="2E97AA73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</w:r>
      <w:hyperlink r:id="rId11" w:anchor="l175" w:history="1">
        <w:r w:rsidRPr="00DA685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A685B">
        <w:rPr>
          <w:rFonts w:ascii="Times New Roman" w:hAnsi="Times New Roman" w:cs="Times New Roman"/>
          <w:sz w:val="28"/>
          <w:szCs w:val="28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E82232">
        <w:rPr>
          <w:rFonts w:ascii="Times New Roman" w:hAnsi="Times New Roman" w:cs="Times New Roman"/>
          <w:sz w:val="28"/>
          <w:szCs w:val="28"/>
        </w:rPr>
        <w:t>,</w:t>
      </w:r>
      <w:r w:rsidR="00E82232" w:rsidRPr="00E82232">
        <w:t xml:space="preserve"> </w:t>
      </w:r>
      <w:r w:rsidR="00E82232" w:rsidRPr="00E82232">
        <w:rPr>
          <w:rFonts w:ascii="Times New Roman" w:hAnsi="Times New Roman" w:cs="Times New Roman"/>
          <w:sz w:val="28"/>
          <w:szCs w:val="28"/>
        </w:rPr>
        <w:t xml:space="preserve">но не позднее 30 календарных дней со дня истечения срока уплаты соответствующего платежа в бюджет бюджетной системы Российской </w:t>
      </w:r>
      <w:r w:rsidR="00E82232" w:rsidRPr="00E82232">
        <w:rPr>
          <w:rFonts w:ascii="Times New Roman" w:hAnsi="Times New Roman" w:cs="Times New Roman"/>
          <w:sz w:val="28"/>
          <w:szCs w:val="28"/>
        </w:rPr>
        <w:lastRenderedPageBreak/>
        <w:t>Федерации (пеней, штрафов), если иные сроки не предусмотрены законодательством Российской Федерации (договором, контрактом)</w:t>
      </w:r>
      <w:r w:rsidRPr="00DA685B">
        <w:rPr>
          <w:rFonts w:ascii="Times New Roman" w:hAnsi="Times New Roman" w:cs="Times New Roman"/>
          <w:sz w:val="28"/>
          <w:szCs w:val="28"/>
        </w:rPr>
        <w:t>;</w:t>
      </w:r>
      <w:r w:rsidR="00E82232" w:rsidRPr="00E82232">
        <w:t xml:space="preserve"> </w:t>
      </w:r>
      <w:r w:rsidR="00E82232" w:rsidRPr="00E82232">
        <w:rPr>
          <w:rFonts w:ascii="Times New Roman" w:hAnsi="Times New Roman" w:cs="Times New Roman"/>
          <w:b/>
        </w:rPr>
        <w:t>(внес.изм. постановление №12 от 08.04.2026г.).</w:t>
      </w:r>
    </w:p>
    <w:p w14:paraId="22E57BAB" w14:textId="6B0406A9" w:rsidR="00CC04CF" w:rsidRPr="002A25E4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b/>
        </w:rPr>
      </w:pPr>
      <w:r w:rsidRPr="00DA685B">
        <w:rPr>
          <w:rFonts w:ascii="Times New Roman" w:hAnsi="Times New Roman" w:cs="Times New Roman"/>
          <w:sz w:val="28"/>
          <w:szCs w:val="28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</w:t>
      </w:r>
      <w:r w:rsidR="002A25E4">
        <w:rPr>
          <w:rFonts w:ascii="Times New Roman" w:hAnsi="Times New Roman" w:cs="Times New Roman"/>
          <w:sz w:val="28"/>
          <w:szCs w:val="28"/>
        </w:rPr>
        <w:t xml:space="preserve">, </w:t>
      </w:r>
      <w:r w:rsidR="002A25E4" w:rsidRPr="002A25E4">
        <w:rPr>
          <w:rFonts w:ascii="Times New Roman" w:hAnsi="Times New Roman" w:cs="Times New Roman"/>
          <w:sz w:val="28"/>
          <w:szCs w:val="28"/>
        </w:rPr>
        <w:t>в сроки, установленные абзацами вторым, пятым и шестым пункта 12 указанного Положения</w:t>
      </w:r>
      <w:r w:rsidRPr="00DA685B">
        <w:rPr>
          <w:rFonts w:ascii="Times New Roman" w:hAnsi="Times New Roman" w:cs="Times New Roman"/>
          <w:sz w:val="28"/>
          <w:szCs w:val="28"/>
        </w:rPr>
        <w:t>.</w:t>
      </w:r>
      <w:r w:rsidR="002A25E4" w:rsidRPr="002A25E4">
        <w:t xml:space="preserve"> </w:t>
      </w:r>
      <w:r w:rsidR="002A25E4" w:rsidRPr="002A25E4">
        <w:rPr>
          <w:rFonts w:ascii="Times New Roman" w:hAnsi="Times New Roman" w:cs="Times New Roman"/>
          <w:b/>
        </w:rPr>
        <w:t>(внес.изм. постановление №12 от 08.04.2026г.).</w:t>
      </w:r>
    </w:p>
    <w:p w14:paraId="58C6145B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6. Мероприятия по принудительному взысканию дебиторской задолженности по доходам включают в себя:</w:t>
      </w:r>
    </w:p>
    <w:p w14:paraId="4207BA9B" w14:textId="085565D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подготовку необходимых материалов и документов, а также подачу искового заявления в суд</w:t>
      </w:r>
      <w:r w:rsidR="002A25E4">
        <w:rPr>
          <w:rFonts w:ascii="Times New Roman" w:hAnsi="Times New Roman" w:cs="Times New Roman"/>
          <w:sz w:val="28"/>
          <w:szCs w:val="28"/>
        </w:rPr>
        <w:t>,</w:t>
      </w:r>
      <w:r w:rsidR="002A25E4" w:rsidRPr="002A25E4">
        <w:rPr>
          <w:rFonts w:ascii="Times New Roman" w:hAnsi="Times New Roman" w:cs="Times New Roman"/>
          <w:sz w:val="28"/>
          <w:szCs w:val="28"/>
        </w:rPr>
        <w:t xml:space="preserve"> в пределах сроков исковой давности</w:t>
      </w:r>
      <w:r w:rsidR="002A25E4" w:rsidRPr="00DA685B">
        <w:rPr>
          <w:rFonts w:ascii="Times New Roman" w:hAnsi="Times New Roman" w:cs="Times New Roman"/>
          <w:sz w:val="28"/>
          <w:szCs w:val="28"/>
        </w:rPr>
        <w:t>;</w:t>
      </w:r>
      <w:r w:rsidR="002A25E4" w:rsidRPr="002A25E4">
        <w:t xml:space="preserve"> </w:t>
      </w:r>
      <w:r w:rsidR="002A25E4" w:rsidRPr="002A25E4">
        <w:rPr>
          <w:rFonts w:ascii="Times New Roman" w:hAnsi="Times New Roman" w:cs="Times New Roman"/>
          <w:b/>
        </w:rPr>
        <w:t>(внес.изм. постановление №12 от 08.04.2026г.).</w:t>
      </w:r>
      <w:r w:rsidRPr="00DA685B">
        <w:rPr>
          <w:rFonts w:ascii="Times New Roman" w:hAnsi="Times New Roman" w:cs="Times New Roman"/>
          <w:sz w:val="28"/>
          <w:szCs w:val="28"/>
        </w:rPr>
        <w:t>;</w:t>
      </w:r>
    </w:p>
    <w:p w14:paraId="3D8E9417" w14:textId="1475AE84" w:rsidR="00CC04CF" w:rsidRPr="002A25E4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b/>
        </w:rPr>
      </w:pPr>
      <w:r w:rsidRPr="00DA685B">
        <w:rPr>
          <w:rFonts w:ascii="Times New Roman" w:hAnsi="Times New Roman" w:cs="Times New Roman"/>
          <w:sz w:val="28"/>
          <w:szCs w:val="28"/>
        </w:rPr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</w:r>
      <w:r w:rsidR="002A25E4">
        <w:rPr>
          <w:rFonts w:ascii="Times New Roman" w:hAnsi="Times New Roman" w:cs="Times New Roman"/>
          <w:sz w:val="28"/>
          <w:szCs w:val="28"/>
        </w:rPr>
        <w:t>;</w:t>
      </w:r>
      <w:r w:rsidR="002A25E4" w:rsidRPr="002A25E4">
        <w:t xml:space="preserve"> </w:t>
      </w:r>
    </w:p>
    <w:p w14:paraId="21D410A5" w14:textId="270FC585" w:rsidR="00CC04CF" w:rsidRPr="002A25E4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b/>
        </w:rPr>
      </w:pPr>
      <w:r w:rsidRPr="00DA685B">
        <w:rPr>
          <w:rFonts w:ascii="Times New Roman" w:hAnsi="Times New Roman" w:cs="Times New Roman"/>
          <w:sz w:val="28"/>
          <w:szCs w:val="28"/>
        </w:rPr>
        <w:t xml:space="preserve">направление исполнительных документов на исполнение в случаях </w:t>
      </w:r>
      <w:r w:rsidR="002A25E4" w:rsidRPr="002A25E4">
        <w:rPr>
          <w:rFonts w:ascii="Times New Roman" w:hAnsi="Times New Roman" w:cs="Times New Roman"/>
          <w:sz w:val="28"/>
          <w:szCs w:val="28"/>
        </w:rPr>
        <w:t>порядке и сроки, которые установлены</w:t>
      </w:r>
      <w:r w:rsidRPr="00DA685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  <w:r w:rsidR="002A25E4" w:rsidRPr="002A25E4">
        <w:t xml:space="preserve"> </w:t>
      </w:r>
      <w:r w:rsidR="002A25E4" w:rsidRPr="002A25E4">
        <w:rPr>
          <w:rFonts w:ascii="Times New Roman" w:hAnsi="Times New Roman" w:cs="Times New Roman"/>
          <w:b/>
        </w:rPr>
        <w:t>(внес.изм. постановление №12 от 08.04.2026г.).</w:t>
      </w:r>
    </w:p>
    <w:p w14:paraId="5F8F5F0F" w14:textId="77777777" w:rsidR="00CC04CF" w:rsidRPr="00DA685B" w:rsidRDefault="00CC04CF" w:rsidP="00CC04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DA685B">
        <w:rPr>
          <w:rFonts w:ascii="Times New Roman" w:hAnsi="Times New Roman" w:cs="Times New Roman"/>
          <w:sz w:val="28"/>
          <w:szCs w:val="28"/>
        </w:rPr>
        <w:t>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14:paraId="1A3EA97A" w14:textId="77777777" w:rsidR="00CC04CF" w:rsidRPr="00DA685B" w:rsidRDefault="00CC04CF" w:rsidP="00CC04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F87DCA" w14:textId="77777777" w:rsidR="00CC04CF" w:rsidRPr="00DA685B" w:rsidRDefault="00CC04CF" w:rsidP="00CC04CF">
      <w:pPr>
        <w:pStyle w:val="11"/>
        <w:shd w:val="clear" w:color="auto" w:fill="auto"/>
        <w:spacing w:after="560"/>
        <w:ind w:firstLine="1020"/>
        <w:jc w:val="center"/>
        <w:rPr>
          <w:b/>
          <w:bCs/>
        </w:rPr>
      </w:pPr>
    </w:p>
    <w:p w14:paraId="6A317297" w14:textId="2059D08D" w:rsidR="00360C34" w:rsidRDefault="00360C34">
      <w:pPr>
        <w:pStyle w:val="11"/>
        <w:shd w:val="clear" w:color="auto" w:fill="auto"/>
        <w:spacing w:after="200" w:line="271" w:lineRule="auto"/>
        <w:ind w:left="220" w:firstLine="0"/>
      </w:pPr>
    </w:p>
    <w:p w14:paraId="30A26899" w14:textId="77777777" w:rsidR="003D0BD7" w:rsidRDefault="003D0BD7">
      <w:pPr>
        <w:pStyle w:val="11"/>
        <w:shd w:val="clear" w:color="auto" w:fill="auto"/>
        <w:spacing w:after="200" w:line="271" w:lineRule="auto"/>
        <w:ind w:left="220" w:firstLine="0"/>
      </w:pPr>
    </w:p>
    <w:sectPr w:rsidR="003D0BD7" w:rsidSect="003D0BD7">
      <w:type w:val="continuous"/>
      <w:pgSz w:w="11909" w:h="16840"/>
      <w:pgMar w:top="1077" w:right="1134" w:bottom="1021" w:left="1418" w:header="0" w:footer="1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AFAC3" w14:textId="77777777" w:rsidR="007E14D0" w:rsidRDefault="007E14D0">
      <w:r>
        <w:separator/>
      </w:r>
    </w:p>
  </w:endnote>
  <w:endnote w:type="continuationSeparator" w:id="0">
    <w:p w14:paraId="44BB9386" w14:textId="77777777" w:rsidR="007E14D0" w:rsidRDefault="007E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h">
    <w:altName w:val="Calibri"/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D5C3C" w14:textId="77777777" w:rsidR="007E14D0" w:rsidRDefault="007E14D0"/>
  </w:footnote>
  <w:footnote w:type="continuationSeparator" w:id="0">
    <w:p w14:paraId="1D0005BD" w14:textId="77777777" w:rsidR="007E14D0" w:rsidRDefault="007E14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AB6"/>
    <w:multiLevelType w:val="multilevel"/>
    <w:tmpl w:val="4002E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C2500"/>
    <w:multiLevelType w:val="multilevel"/>
    <w:tmpl w:val="4002E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D305E"/>
    <w:multiLevelType w:val="multilevel"/>
    <w:tmpl w:val="96C81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C1D70"/>
    <w:multiLevelType w:val="multilevel"/>
    <w:tmpl w:val="00925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890527"/>
    <w:multiLevelType w:val="multilevel"/>
    <w:tmpl w:val="4002E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A7610"/>
    <w:multiLevelType w:val="multilevel"/>
    <w:tmpl w:val="1794E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3C4C1D"/>
    <w:multiLevelType w:val="multilevel"/>
    <w:tmpl w:val="7BAA91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8601C0"/>
    <w:multiLevelType w:val="multilevel"/>
    <w:tmpl w:val="8DCA0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D9"/>
    <w:rsid w:val="00042025"/>
    <w:rsid w:val="00053EFC"/>
    <w:rsid w:val="00072F99"/>
    <w:rsid w:val="000F11D3"/>
    <w:rsid w:val="0015644D"/>
    <w:rsid w:val="0019524F"/>
    <w:rsid w:val="00204F5D"/>
    <w:rsid w:val="00226A85"/>
    <w:rsid w:val="00272105"/>
    <w:rsid w:val="002A25E4"/>
    <w:rsid w:val="002B437E"/>
    <w:rsid w:val="002E351B"/>
    <w:rsid w:val="003127B7"/>
    <w:rsid w:val="00360C34"/>
    <w:rsid w:val="00363A9D"/>
    <w:rsid w:val="003744E9"/>
    <w:rsid w:val="003C6239"/>
    <w:rsid w:val="003D0BD7"/>
    <w:rsid w:val="003D6755"/>
    <w:rsid w:val="003E02D9"/>
    <w:rsid w:val="003E625F"/>
    <w:rsid w:val="00401918"/>
    <w:rsid w:val="00403616"/>
    <w:rsid w:val="00434308"/>
    <w:rsid w:val="00474547"/>
    <w:rsid w:val="00485394"/>
    <w:rsid w:val="004B3054"/>
    <w:rsid w:val="004D1BE6"/>
    <w:rsid w:val="005304D4"/>
    <w:rsid w:val="0053208E"/>
    <w:rsid w:val="005604ED"/>
    <w:rsid w:val="005A6BE4"/>
    <w:rsid w:val="005D192D"/>
    <w:rsid w:val="005F7B21"/>
    <w:rsid w:val="00600D05"/>
    <w:rsid w:val="00643D5F"/>
    <w:rsid w:val="00692185"/>
    <w:rsid w:val="006B08E7"/>
    <w:rsid w:val="006B1AD4"/>
    <w:rsid w:val="006E19EC"/>
    <w:rsid w:val="00720BAE"/>
    <w:rsid w:val="007333B6"/>
    <w:rsid w:val="007E0460"/>
    <w:rsid w:val="007E14D0"/>
    <w:rsid w:val="00822C76"/>
    <w:rsid w:val="00833F45"/>
    <w:rsid w:val="00906781"/>
    <w:rsid w:val="00957344"/>
    <w:rsid w:val="009606A2"/>
    <w:rsid w:val="0098102B"/>
    <w:rsid w:val="009B0A6D"/>
    <w:rsid w:val="009C027D"/>
    <w:rsid w:val="00A40A93"/>
    <w:rsid w:val="00A93CF0"/>
    <w:rsid w:val="00AA36FA"/>
    <w:rsid w:val="00AE4B11"/>
    <w:rsid w:val="00B549A3"/>
    <w:rsid w:val="00B923F4"/>
    <w:rsid w:val="00C70B00"/>
    <w:rsid w:val="00CC04CF"/>
    <w:rsid w:val="00CC1101"/>
    <w:rsid w:val="00CE3075"/>
    <w:rsid w:val="00CE7E79"/>
    <w:rsid w:val="00CF3569"/>
    <w:rsid w:val="00D2579C"/>
    <w:rsid w:val="00D41BD0"/>
    <w:rsid w:val="00DA3C9F"/>
    <w:rsid w:val="00DA685B"/>
    <w:rsid w:val="00DB63F7"/>
    <w:rsid w:val="00DF2405"/>
    <w:rsid w:val="00E00E1C"/>
    <w:rsid w:val="00E276A4"/>
    <w:rsid w:val="00E82232"/>
    <w:rsid w:val="00ED031E"/>
    <w:rsid w:val="00ED05EA"/>
    <w:rsid w:val="00F50041"/>
    <w:rsid w:val="00F503AD"/>
    <w:rsid w:val="00F57C21"/>
    <w:rsid w:val="00F71261"/>
    <w:rsid w:val="00FA0CBB"/>
    <w:rsid w:val="00FA61B9"/>
    <w:rsid w:val="00F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8189"/>
  <w15:docId w15:val="{5F4BB106-84E8-4768-ACD9-0EEF53C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4D1BE6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4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4D1BE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12">
    <w:name w:val="Обычный1"/>
    <w:rsid w:val="004D1BE6"/>
    <w:pPr>
      <w:spacing w:line="300" w:lineRule="auto"/>
      <w:ind w:firstLine="840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ConsNonformat">
    <w:name w:val="ConsNonformat"/>
    <w:rsid w:val="004D1BE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6">
    <w:name w:val="List Paragraph"/>
    <w:basedOn w:val="a"/>
    <w:uiPriority w:val="34"/>
    <w:qFormat/>
    <w:rsid w:val="00CE7E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19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192D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7333B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1">
    <w:name w:val="Обычный2"/>
    <w:rsid w:val="00401918"/>
    <w:pPr>
      <w:spacing w:line="300" w:lineRule="auto"/>
      <w:ind w:firstLine="840"/>
      <w:jc w:val="both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ConsPlusTitle">
    <w:name w:val="ConsPlusTitle"/>
    <w:rsid w:val="002E351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2E351B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8"/>
      <w:szCs w:val="20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CC04C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42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74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7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7356-DFEA-4A6C-B371-1B0ACC68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Документы</cp:lastModifiedBy>
  <cp:revision>13</cp:revision>
  <cp:lastPrinted>2026-04-10T10:59:00Z</cp:lastPrinted>
  <dcterms:created xsi:type="dcterms:W3CDTF">2024-11-22T10:51:00Z</dcterms:created>
  <dcterms:modified xsi:type="dcterms:W3CDTF">2026-04-10T11:39:00Z</dcterms:modified>
</cp:coreProperties>
</file>