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9" w:type="dxa"/>
        <w:tblLook w:val="01E0" w:firstRow="1" w:lastRow="1" w:firstColumn="1" w:lastColumn="1" w:noHBand="0" w:noVBand="0"/>
      </w:tblPr>
      <w:tblGrid>
        <w:gridCol w:w="10524"/>
        <w:gridCol w:w="222"/>
        <w:gridCol w:w="223"/>
      </w:tblGrid>
      <w:tr w:rsidR="003A72EA" w:rsidTr="00FC5C83">
        <w:trPr>
          <w:cantSplit/>
        </w:trPr>
        <w:tc>
          <w:tcPr>
            <w:tcW w:w="10524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200"/>
              <w:gridCol w:w="1560"/>
              <w:gridCol w:w="4320"/>
            </w:tblGrid>
            <w:tr w:rsidR="003A72EA" w:rsidRPr="0052273A" w:rsidTr="00E80D48">
              <w:trPr>
                <w:cantSplit/>
              </w:trPr>
              <w:tc>
                <w:tcPr>
                  <w:tcW w:w="4200" w:type="dxa"/>
                  <w:hideMark/>
                </w:tcPr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FC5C83">
                    <w:rPr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FC5C83">
                    <w:rPr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М</w:t>
                  </w:r>
                  <w:r w:rsidRPr="00FC5C83">
                    <w:rPr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FC5C83">
                    <w:rPr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ba-RU"/>
                    </w:rPr>
                  </w:pPr>
                  <w:r w:rsidRPr="00FC5C83">
                    <w:rPr>
                      <w:b/>
                      <w:sz w:val="20"/>
                      <w:szCs w:val="20"/>
                    </w:rPr>
                    <w:t>МУНИЦИПАЛЬ РАЙОНЫНЫ</w:t>
                  </w:r>
                  <w:r w:rsidRPr="00FC5C83">
                    <w:rPr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C83">
                    <w:rPr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5C83">
                    <w:rPr>
                      <w:b/>
                      <w:sz w:val="20"/>
                      <w:szCs w:val="20"/>
                    </w:rPr>
                    <w:t>АУЫЛ БИЛ</w:t>
                  </w:r>
                  <w:r w:rsidRPr="00FC5C83">
                    <w:rPr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FC5C83">
                    <w:rPr>
                      <w:b/>
                      <w:sz w:val="20"/>
                      <w:szCs w:val="20"/>
                    </w:rPr>
                    <w:t>М</w:t>
                  </w:r>
                  <w:r w:rsidRPr="00FC5C83">
                    <w:rPr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FC5C83">
                    <w:rPr>
                      <w:b/>
                      <w:sz w:val="20"/>
                      <w:szCs w:val="20"/>
                    </w:rPr>
                    <w:t>Е</w:t>
                  </w:r>
                </w:p>
                <w:p w:rsidR="003A72EA" w:rsidRPr="00FC5C83" w:rsidRDefault="003A72EA" w:rsidP="003A72EA">
                  <w:pPr>
                    <w:pStyle w:val="4"/>
                    <w:spacing w:line="276" w:lineRule="auto"/>
                    <w:jc w:val="left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FC5C8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    ХАКИМИӘТЕ</w:t>
                  </w:r>
                </w:p>
              </w:tc>
              <w:tc>
                <w:tcPr>
                  <w:tcW w:w="1560" w:type="dxa"/>
                  <w:hideMark/>
                </w:tcPr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C5C83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3D7645" wp14:editId="06EEFCED">
                        <wp:extent cx="828675" cy="101917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hideMark/>
                </w:tcPr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3A72EA" w:rsidRPr="00FC5C83" w:rsidRDefault="003A72EA" w:rsidP="003A72E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FC5C83">
                    <w:rPr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FC5C83" w:rsidRDefault="003A72EA" w:rsidP="009C0D03">
            <w:pPr>
              <w:jc w:val="right"/>
              <w:rPr>
                <w:b/>
                <w:lang w:val="ba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9CAFE" wp14:editId="0A9D4346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22225</wp:posOffset>
                      </wp:positionV>
                      <wp:extent cx="662940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E7B1D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BGnrkeWQIAAGoEAAAOAAAAAAAAAAAAAAAAAC4CAABkcnMvZTJvRG9jLnht&#10;bFBLAQItABQABgAIAAAAIQDjdoDl4AAAAAg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="00FC5C83">
              <w:rPr>
                <w:b/>
                <w:lang w:val="ba-RU"/>
              </w:rPr>
              <w:t xml:space="preserve">    </w:t>
            </w:r>
          </w:p>
          <w:p w:rsidR="00FC5C83" w:rsidRPr="00FC5C83" w:rsidRDefault="00FC5C83" w:rsidP="00FC5C83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ҠАРАР</w:t>
            </w:r>
            <w:r w:rsidRPr="00F859F1">
              <w:rPr>
                <w:rFonts w:ascii="Bash" w:eastAsia="Times New Roman" w:hAnsi="Bash"/>
                <w:b/>
                <w:szCs w:val="24"/>
                <w:lang w:eastAsia="ar-SA"/>
              </w:rPr>
              <w:t xml:space="preserve">       </w:t>
            </w:r>
            <w:r w:rsidRPr="00F859F1">
              <w:rPr>
                <w:rFonts w:ascii="Bash" w:eastAsia="Times New Roman" w:hAnsi="Bash"/>
                <w:b/>
                <w:szCs w:val="24"/>
                <w:lang w:eastAsia="ar-SA"/>
              </w:rPr>
              <w:tab/>
              <w:t xml:space="preserve">      </w:t>
            </w:r>
            <w:r w:rsidRPr="00F859F1">
              <w:rPr>
                <w:rFonts w:ascii="Bash" w:eastAsia="Times New Roman" w:hAnsi="Bash"/>
                <w:b/>
                <w:szCs w:val="24"/>
                <w:lang w:eastAsia="ar-SA"/>
              </w:rPr>
              <w:tab/>
              <w:t xml:space="preserve">                                        </w:t>
            </w:r>
            <w:r>
              <w:rPr>
                <w:rFonts w:ascii="Bash" w:eastAsia="Times New Roman" w:hAnsi="Bash"/>
                <w:b/>
                <w:szCs w:val="24"/>
                <w:lang w:eastAsia="ar-SA"/>
              </w:rPr>
              <w:t xml:space="preserve">             </w:t>
            </w:r>
            <w:r w:rsidRPr="00F859F1">
              <w:rPr>
                <w:rFonts w:ascii="Calibri" w:eastAsia="Times New Roman" w:hAnsi="Calibri"/>
                <w:b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szCs w:val="24"/>
                <w:lang w:eastAsia="ar-SA"/>
              </w:rPr>
              <w:t>ПАСТАНОВЛЕНИЕ</w:t>
            </w:r>
          </w:p>
          <w:p w:rsidR="00FC5C83" w:rsidRPr="00F859F1" w:rsidRDefault="00FC5C83" w:rsidP="00FC5C83">
            <w:pPr>
              <w:suppressAutoHyphens/>
              <w:ind w:hanging="709"/>
              <w:rPr>
                <w:rFonts w:eastAsia="Times New Roman"/>
                <w:b/>
                <w:sz w:val="16"/>
                <w:szCs w:val="24"/>
                <w:lang w:eastAsia="ar-SA"/>
              </w:rPr>
            </w:pPr>
          </w:p>
          <w:p w:rsidR="00FC5C83" w:rsidRPr="00F859F1" w:rsidRDefault="00FC5C83" w:rsidP="00FC5C83">
            <w:pPr>
              <w:suppressAutoHyphens/>
              <w:spacing w:line="360" w:lineRule="auto"/>
              <w:ind w:hanging="709"/>
              <w:rPr>
                <w:rFonts w:eastAsia="Times New Roman"/>
                <w:sz w:val="28"/>
                <w:szCs w:val="28"/>
                <w:lang w:eastAsia="ar-SA"/>
              </w:rPr>
            </w:pP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 «_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</w:t>
            </w:r>
            <w:r w:rsidR="00485CE4">
              <w:rPr>
                <w:rFonts w:eastAsia="Times New Roman"/>
                <w:sz w:val="28"/>
                <w:szCs w:val="28"/>
                <w:lang w:eastAsia="ar-SA"/>
              </w:rPr>
              <w:t>15 апрель</w:t>
            </w:r>
            <w:r w:rsidRPr="00F859F1">
              <w:rPr>
                <w:rFonts w:ascii="TimBashk" w:eastAsia="Times New Roman" w:hAnsi="TimBashk"/>
                <w:sz w:val="28"/>
                <w:szCs w:val="28"/>
                <w:lang w:eastAsia="ar-SA"/>
              </w:rPr>
              <w:t xml:space="preserve"> 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й.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ab/>
              <w:t xml:space="preserve">    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№</w:t>
            </w:r>
            <w:r w:rsidR="00485CE4">
              <w:rPr>
                <w:rFonts w:eastAsia="Times New Roman"/>
                <w:sz w:val="28"/>
                <w:szCs w:val="28"/>
                <w:lang w:eastAsia="ar-SA"/>
              </w:rPr>
              <w:t>47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      </w:t>
            </w:r>
            <w:r w:rsidR="00485CE4"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      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от </w:t>
            </w:r>
            <w:r w:rsidR="00485CE4">
              <w:rPr>
                <w:rFonts w:eastAsia="Times New Roman"/>
                <w:sz w:val="28"/>
                <w:szCs w:val="28"/>
                <w:lang w:eastAsia="ar-SA"/>
              </w:rPr>
              <w:t>15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485CE4">
              <w:rPr>
                <w:rFonts w:eastAsia="Times New Roman"/>
                <w:sz w:val="28"/>
                <w:szCs w:val="28"/>
                <w:lang w:eastAsia="ar-SA"/>
              </w:rPr>
              <w:t>апреля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 201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9</w:t>
            </w:r>
            <w:r w:rsidRPr="00F859F1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  <w:p w:rsidR="003A72EA" w:rsidRDefault="003A72EA" w:rsidP="003A72EA">
            <w:pPr>
              <w:pStyle w:val="4"/>
              <w:jc w:val="left"/>
            </w:pPr>
          </w:p>
        </w:tc>
        <w:tc>
          <w:tcPr>
            <w:tcW w:w="222" w:type="dxa"/>
            <w:vMerge w:val="restart"/>
          </w:tcPr>
          <w:p w:rsidR="003A72EA" w:rsidRDefault="003A72EA" w:rsidP="003A72EA">
            <w:pPr>
              <w:jc w:val="center"/>
              <w:rPr>
                <w:rFonts w:ascii="Bash" w:hAnsi="Bash"/>
                <w:sz w:val="22"/>
              </w:rPr>
            </w:pPr>
          </w:p>
        </w:tc>
        <w:tc>
          <w:tcPr>
            <w:tcW w:w="223" w:type="dxa"/>
          </w:tcPr>
          <w:p w:rsidR="003A72EA" w:rsidRPr="00151BDE" w:rsidRDefault="003A72EA" w:rsidP="003A72EA"/>
        </w:tc>
      </w:tr>
      <w:tr w:rsidR="003A72EA" w:rsidTr="00FC5C83">
        <w:trPr>
          <w:cantSplit/>
        </w:trPr>
        <w:tc>
          <w:tcPr>
            <w:tcW w:w="10524" w:type="dxa"/>
          </w:tcPr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8931"/>
            </w:tblGrid>
            <w:tr w:rsidR="00FC5C83" w:rsidTr="00FC5C83">
              <w:trPr>
                <w:trHeight w:val="1396"/>
              </w:trPr>
              <w:tc>
                <w:tcPr>
                  <w:tcW w:w="8931" w:type="dxa"/>
                  <w:hideMark/>
                </w:tcPr>
                <w:p w:rsidR="00FC5C83" w:rsidRPr="00F859F1" w:rsidRDefault="00FC5C83" w:rsidP="00160807">
                  <w:pPr>
                    <w:suppressAutoHyphens/>
                    <w:ind w:hanging="709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szCs w:val="24"/>
                      <w:lang w:eastAsia="ar-SA"/>
                    </w:rPr>
                    <w:t xml:space="preserve">      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Об утверждении Порядка принятия решения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представителем нанимателя (работодателем)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об участии муниципальных служащих  на безвозмездной основе </w:t>
                  </w:r>
                </w:p>
                <w:p w:rsidR="00FC5C83" w:rsidRDefault="00FC5C83" w:rsidP="00160807">
                  <w:pPr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в управлении коммерческой и некоммерческой организацией</w:t>
                  </w:r>
                </w:p>
              </w:tc>
            </w:tr>
          </w:tbl>
          <w:p w:rsidR="00FC5C83" w:rsidRDefault="00FC5C83" w:rsidP="00FC5C83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В соответствии с Гражданским кодексом Российской Федерации;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Абдуллинский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 муниципального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FC5C83" w:rsidRDefault="00FC5C83" w:rsidP="00FC5C8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1.Утвердить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организацией, согласно приложению к настоящему постановлению.</w:t>
            </w: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2. Опубликовать настоящее постановление путём размещения на официальном сайте Администрации района.</w:t>
            </w:r>
          </w:p>
          <w:p w:rsidR="00FC5C83" w:rsidRDefault="00FC5C83" w:rsidP="00FC5C83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3. Контроль за исполнением настоящего распоряжения оставляю за собой.</w:t>
            </w:r>
          </w:p>
          <w:p w:rsidR="00FC5C83" w:rsidRDefault="00FC5C83" w:rsidP="00FC5C83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FC5C83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FC5C8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Р.Г.Нусратуллин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FC5C83" w:rsidRPr="00D54E41" w:rsidRDefault="00FC5C83" w:rsidP="00FC5C8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</w:p>
          <w:p w:rsidR="00FC5C83" w:rsidRDefault="00FC5C83" w:rsidP="00FC5C8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72EA" w:rsidRPr="00FC5C83" w:rsidRDefault="003A72EA" w:rsidP="003A72EA">
            <w:pPr>
              <w:jc w:val="center"/>
              <w:rPr>
                <w:rFonts w:ascii="TimBashk" w:hAnsi="TimBashk"/>
                <w:sz w:val="16"/>
                <w:szCs w:val="16"/>
                <w:lang w:val="ba-RU"/>
              </w:rPr>
            </w:pPr>
          </w:p>
        </w:tc>
        <w:tc>
          <w:tcPr>
            <w:tcW w:w="0" w:type="auto"/>
            <w:vMerge/>
            <w:vAlign w:val="center"/>
          </w:tcPr>
          <w:p w:rsidR="003A72EA" w:rsidRDefault="003A72EA" w:rsidP="003A72EA">
            <w:pPr>
              <w:rPr>
                <w:rFonts w:ascii="Bash" w:hAnsi="Bash"/>
                <w:sz w:val="22"/>
              </w:rPr>
            </w:pPr>
          </w:p>
        </w:tc>
        <w:tc>
          <w:tcPr>
            <w:tcW w:w="223" w:type="dxa"/>
          </w:tcPr>
          <w:p w:rsidR="003A72EA" w:rsidRDefault="003A72EA" w:rsidP="003A72EA"/>
        </w:tc>
      </w:tr>
      <w:tr w:rsidR="007E3E1A" w:rsidTr="00FC5C83">
        <w:trPr>
          <w:cantSplit/>
        </w:trPr>
        <w:tc>
          <w:tcPr>
            <w:tcW w:w="10969" w:type="dxa"/>
            <w:gridSpan w:val="3"/>
          </w:tcPr>
          <w:p w:rsidR="007E3E1A" w:rsidRDefault="007E3E1A">
            <w:pPr>
              <w:jc w:val="center"/>
              <w:rPr>
                <w:sz w:val="16"/>
                <w:szCs w:val="16"/>
              </w:rPr>
            </w:pPr>
          </w:p>
        </w:tc>
      </w:tr>
      <w:tr w:rsidR="007E3E1A" w:rsidTr="00FC5C83">
        <w:trPr>
          <w:cantSplit/>
          <w:trHeight w:val="199"/>
        </w:trPr>
        <w:tc>
          <w:tcPr>
            <w:tcW w:w="10524" w:type="dxa"/>
          </w:tcPr>
          <w:p w:rsidR="007E3E1A" w:rsidRDefault="007E3E1A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9C0D03" w:rsidRDefault="009C0D0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  <w:p w:rsidR="00FC5C83" w:rsidRPr="00FC5C83" w:rsidRDefault="00FC5C83" w:rsidP="003A72EA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</w:tc>
        <w:tc>
          <w:tcPr>
            <w:tcW w:w="0" w:type="auto"/>
            <w:vAlign w:val="center"/>
          </w:tcPr>
          <w:p w:rsidR="007E3E1A" w:rsidRDefault="007E3E1A">
            <w:pPr>
              <w:rPr>
                <w:sz w:val="28"/>
                <w:szCs w:val="28"/>
              </w:rPr>
            </w:pPr>
          </w:p>
        </w:tc>
        <w:tc>
          <w:tcPr>
            <w:tcW w:w="223" w:type="dxa"/>
          </w:tcPr>
          <w:p w:rsidR="007E3E1A" w:rsidRDefault="007E3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D03" w:rsidRDefault="009C0D03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val="ba-RU" w:eastAsia="ru-RU"/>
        </w:rPr>
      </w:pP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lastRenderedPageBreak/>
        <w:t xml:space="preserve">Приложение 1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к </w:t>
      </w:r>
      <w:r w:rsidR="00F859F1" w:rsidRPr="009C0D03">
        <w:rPr>
          <w:rFonts w:eastAsia="Times New Roman"/>
          <w:sz w:val="18"/>
          <w:szCs w:val="18"/>
          <w:lang w:eastAsia="ru-RU"/>
        </w:rPr>
        <w:t>распоряжению</w:t>
      </w:r>
      <w:r w:rsidRPr="009C0D03">
        <w:rPr>
          <w:rFonts w:eastAsia="Times New Roman"/>
          <w:sz w:val="18"/>
          <w:szCs w:val="18"/>
          <w:lang w:eastAsia="ru-RU"/>
        </w:rPr>
        <w:t xml:space="preserve"> Администрации</w:t>
      </w:r>
    </w:p>
    <w:p w:rsidR="007946C2" w:rsidRPr="009C0D03" w:rsidRDefault="007946C2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сельского поселения </w:t>
      </w:r>
    </w:p>
    <w:p w:rsidR="007946C2" w:rsidRPr="009C0D03" w:rsidRDefault="007946C2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proofErr w:type="spellStart"/>
      <w:r w:rsidRPr="009C0D03">
        <w:rPr>
          <w:rFonts w:eastAsia="Times New Roman"/>
          <w:sz w:val="18"/>
          <w:szCs w:val="18"/>
          <w:lang w:eastAsia="ru-RU"/>
        </w:rPr>
        <w:t>Абдуллинский</w:t>
      </w:r>
      <w:proofErr w:type="spellEnd"/>
      <w:r w:rsidRPr="009C0D03">
        <w:rPr>
          <w:rFonts w:eastAsia="Times New Roman"/>
          <w:sz w:val="18"/>
          <w:szCs w:val="18"/>
          <w:lang w:eastAsia="ru-RU"/>
        </w:rPr>
        <w:t xml:space="preserve"> сельсовет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>муниципального района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Мечетлинский район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Республики Башкортостан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от </w:t>
      </w:r>
      <w:r w:rsidR="00485CE4">
        <w:rPr>
          <w:rFonts w:eastAsia="Times New Roman"/>
          <w:sz w:val="18"/>
          <w:szCs w:val="18"/>
          <w:lang w:eastAsia="ru-RU"/>
        </w:rPr>
        <w:t>15</w:t>
      </w:r>
      <w:r w:rsidRPr="009C0D03">
        <w:rPr>
          <w:rFonts w:eastAsia="Times New Roman"/>
          <w:sz w:val="18"/>
          <w:szCs w:val="18"/>
          <w:lang w:eastAsia="ru-RU"/>
        </w:rPr>
        <w:t>.</w:t>
      </w:r>
      <w:r w:rsidR="00485CE4">
        <w:rPr>
          <w:rFonts w:eastAsia="Times New Roman"/>
          <w:sz w:val="18"/>
          <w:szCs w:val="18"/>
          <w:lang w:eastAsia="ru-RU"/>
        </w:rPr>
        <w:t>04</w:t>
      </w:r>
      <w:r w:rsidRPr="009C0D03">
        <w:rPr>
          <w:rFonts w:eastAsia="Times New Roman"/>
          <w:sz w:val="18"/>
          <w:szCs w:val="18"/>
          <w:lang w:eastAsia="ru-RU"/>
        </w:rPr>
        <w:t>.201</w:t>
      </w:r>
      <w:r w:rsidR="00D54E41" w:rsidRPr="009C0D03">
        <w:rPr>
          <w:rFonts w:eastAsia="Times New Roman"/>
          <w:sz w:val="18"/>
          <w:szCs w:val="18"/>
          <w:lang w:eastAsia="ru-RU"/>
        </w:rPr>
        <w:t>9</w:t>
      </w:r>
      <w:r w:rsidRPr="009C0D03">
        <w:rPr>
          <w:rFonts w:eastAsia="Times New Roman"/>
          <w:sz w:val="18"/>
          <w:szCs w:val="18"/>
          <w:lang w:eastAsia="ru-RU"/>
        </w:rPr>
        <w:t xml:space="preserve"> №</w:t>
      </w:r>
      <w:r w:rsidR="00485CE4">
        <w:rPr>
          <w:rFonts w:eastAsia="Times New Roman"/>
          <w:sz w:val="18"/>
          <w:szCs w:val="18"/>
          <w:lang w:eastAsia="ru-RU"/>
        </w:rPr>
        <w:t>47</w:t>
      </w:r>
      <w:bookmarkStart w:id="0" w:name="_GoBack"/>
      <w:bookmarkEnd w:id="0"/>
      <w:r w:rsidR="00F859F1" w:rsidRPr="009C0D03">
        <w:rPr>
          <w:rFonts w:eastAsia="Times New Roman"/>
          <w:sz w:val="18"/>
          <w:szCs w:val="18"/>
          <w:lang w:eastAsia="ru-RU"/>
        </w:rPr>
        <w:t xml:space="preserve"> </w:t>
      </w:r>
      <w:r w:rsidRPr="009C0D03">
        <w:rPr>
          <w:rFonts w:eastAsia="Times New Roman"/>
          <w:sz w:val="18"/>
          <w:szCs w:val="18"/>
          <w:lang w:eastAsia="ru-RU"/>
        </w:rPr>
        <w:t xml:space="preserve"> 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Порядок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1.1 Настоящий Порядок регулирует вопросы принятия решения представителем нанимателя (работодателя) об участии на безвозмездной основе лица, замещающего должность муниципальной службы в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являющееся юридическим лицом (далее -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>
        <w:rPr>
          <w:rFonts w:eastAsia="SimSun"/>
          <w:sz w:val="28"/>
          <w:szCs w:val="28"/>
          <w:lang w:eastAsia="zh-CN"/>
        </w:rPr>
        <w:lastRenderedPageBreak/>
        <w:t xml:space="preserve"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должностному лицу, ответственному за ведение кадровых вопросов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района,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Участие в органах управления коммерческих организаций в качестве представителя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может быть поручено муниципальному служащему главой Администрации</w:t>
      </w:r>
      <w:r w:rsidR="007946C2" w:rsidRPr="007946C2">
        <w:t xml:space="preserve"> </w:t>
      </w:r>
      <w:r w:rsidR="007946C2" w:rsidRPr="007946C2">
        <w:rPr>
          <w:sz w:val="28"/>
          <w:szCs w:val="28"/>
        </w:rPr>
        <w:t>сельского поселения</w:t>
      </w:r>
      <w:r w:rsidR="007946C2" w:rsidRPr="007946C2">
        <w:t xml:space="preserve">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(далее –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, а также по инициативе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 Для рассмотрения вопроса о вхождении муниципального служащего в состав органа управления коммерческой организации, главе Администрации представляются следующие документы: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3.3.1. Служебная записка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3.3.2. Информация о финансово-экономическом состоянии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4. Порядок принятия решения на управление некоммерческой организацией муниципальным служащим.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4.1.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4.2. Журнал должен быть прошнурован и пронумерован. Запись о количестве листов должна быть заверена и скреплена печатью.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течение трех лет со дня регистрации в нем последнего обращения, после чего передается в архив.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5. Порядок наделения муниципального служащего полномочиями  в управлении коммерческой организацией и прекращение таких полномочий.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наличия объективных обстоятельств, препятствующих муниципальному служащему осуществлять свои полномочия – с даты возникновения этих обстоятельств;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 w:rsidR="00F859F1"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 w:rsidR="00F859F1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="00F859F1">
        <w:rPr>
          <w:rFonts w:eastAsia="SimSun"/>
          <w:sz w:val="28"/>
          <w:szCs w:val="28"/>
          <w:lang w:eastAsia="zh-CN"/>
        </w:rPr>
        <w:t xml:space="preserve"> район Республики Башкортостан</w:t>
      </w:r>
      <w:r>
        <w:rPr>
          <w:rFonts w:eastAsia="SimSun"/>
          <w:sz w:val="28"/>
          <w:szCs w:val="28"/>
          <w:lang w:eastAsia="zh-CN"/>
        </w:rPr>
        <w:t xml:space="preserve">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о замене муниципального служащего, представляющего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систематического неисполнения муниципальным служащим своих обязанностей в качестве представителя Администрации</w:t>
      </w:r>
      <w:r w:rsidR="007946C2" w:rsidRPr="007946C2">
        <w:t xml:space="preserve">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5.4.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</w:t>
      </w:r>
      <w:r>
        <w:rPr>
          <w:rFonts w:eastAsia="SimSun"/>
          <w:sz w:val="28"/>
          <w:szCs w:val="28"/>
          <w:lang w:eastAsia="zh-CN"/>
        </w:rPr>
        <w:lastRenderedPageBreak/>
        <w:t xml:space="preserve">вопросом о переизбрании члена органа управления коммерческой организации, представлявшего интересы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Башкортостан. 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Если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7946C2" w:rsidRPr="007946C2">
        <w:rPr>
          <w:rFonts w:eastAsia="SimSun"/>
          <w:sz w:val="28"/>
          <w:szCs w:val="28"/>
          <w:lang w:eastAsia="zh-CN"/>
        </w:rPr>
        <w:t>Абдуллинский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FC5C83" w:rsidRPr="00FC5C83" w:rsidRDefault="00FC5C83" w:rsidP="007946C2">
      <w:pPr>
        <w:rPr>
          <w:rFonts w:eastAsia="SimSun"/>
          <w:szCs w:val="24"/>
          <w:lang w:val="ba-RU"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№ 2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Порядку 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(должность, наименование органа местного самоуправления)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(Ф.И.О., замещаемая должность муниципальной службы)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ОБРАЩЕНИЕ</w:t>
      </w: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разрешении участия в управлении коммерческой (некоммерческой) организацией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намерен(а)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 xml:space="preserve">)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______________________________________________________________.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(наименование организации)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>).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Прилагаю следующие документы: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1.___________________________________________________________;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2.___________________________________________________________.</w:t>
      </w: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«____» __________ 20__года                              ___________ / _____________</w:t>
      </w:r>
    </w:p>
    <w:p w:rsidR="007E3E1A" w:rsidRDefault="007E3E1A" w:rsidP="007E3E1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(подпись)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Согласовано: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согласовании обращения отказано в связи с __________________________ 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(основания для отказа в даче разрешения)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Порядку принятия решения представителем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нанимателя об участии муниципальных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служащих на безвозмездной основе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управлении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ЖУРНАЛ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№</w:t>
            </w:r>
            <w:r w:rsidR="00F859F1">
              <w:rPr>
                <w:rFonts w:eastAsia="Times New Roman" w:cs="Calibri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</w:tbl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sectPr w:rsidR="007E3E1A" w:rsidSect="009C0D0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F2"/>
    <w:rsid w:val="002C1256"/>
    <w:rsid w:val="003A72EA"/>
    <w:rsid w:val="00485CE4"/>
    <w:rsid w:val="007946C2"/>
    <w:rsid w:val="007E3E1A"/>
    <w:rsid w:val="00807EF2"/>
    <w:rsid w:val="009C0D03"/>
    <w:rsid w:val="00D54E41"/>
    <w:rsid w:val="00F859F1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11</cp:revision>
  <cp:lastPrinted>2019-02-28T10:16:00Z</cp:lastPrinted>
  <dcterms:created xsi:type="dcterms:W3CDTF">2019-02-26T07:22:00Z</dcterms:created>
  <dcterms:modified xsi:type="dcterms:W3CDTF">2019-04-15T11:18:00Z</dcterms:modified>
</cp:coreProperties>
</file>